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B3018" w14:textId="3C746867" w:rsidR="00664D98" w:rsidRDefault="00664D98" w:rsidP="00664D98">
      <w:pPr>
        <w:pStyle w:val="Header"/>
        <w:tabs>
          <w:tab w:val="right" w:pos="9900"/>
          <w:tab w:val="right" w:pos="13323"/>
        </w:tabs>
        <w:rPr>
          <w:sz w:val="24"/>
          <w:szCs w:val="24"/>
          <w:lang w:val="pt-BR"/>
        </w:rPr>
      </w:pPr>
      <w:r>
        <w:rPr>
          <w:sz w:val="24"/>
          <w:szCs w:val="24"/>
          <w:lang w:val="pt-BR"/>
        </w:rPr>
        <w:t>3GPP TSG-RAN WG4 Meeting #8</w:t>
      </w:r>
      <w:r w:rsidR="00AE4634">
        <w:rPr>
          <w:sz w:val="24"/>
          <w:szCs w:val="24"/>
          <w:lang w:val="pt-BR"/>
        </w:rPr>
        <w:t>4</w:t>
      </w:r>
      <w:r>
        <w:rPr>
          <w:sz w:val="24"/>
          <w:szCs w:val="24"/>
          <w:lang w:val="pt-BR"/>
        </w:rPr>
        <w:tab/>
      </w:r>
      <w:r w:rsidRPr="00347BDE">
        <w:rPr>
          <w:sz w:val="24"/>
          <w:szCs w:val="24"/>
          <w:lang w:val="pt-BR"/>
        </w:rPr>
        <w:t>R4-17</w:t>
      </w:r>
      <w:r w:rsidR="00AE4634">
        <w:rPr>
          <w:sz w:val="24"/>
          <w:szCs w:val="24"/>
          <w:lang w:val="pt-BR"/>
        </w:rPr>
        <w:t>0</w:t>
      </w:r>
      <w:r w:rsidR="00CF67B0">
        <w:rPr>
          <w:sz w:val="24"/>
          <w:szCs w:val="24"/>
          <w:lang w:val="pt-BR"/>
        </w:rPr>
        <w:t>7478</w:t>
      </w:r>
    </w:p>
    <w:p w14:paraId="21C0D1C7" w14:textId="77777777" w:rsidR="00664D98" w:rsidRDefault="00AE4634" w:rsidP="00664D98">
      <w:pPr>
        <w:pStyle w:val="BodyText"/>
        <w:rPr>
          <w:rFonts w:ascii="Arial" w:hAnsi="Arial"/>
          <w:b/>
          <w:noProof/>
          <w:lang w:val="pt-BR"/>
        </w:rPr>
      </w:pPr>
      <w:r>
        <w:rPr>
          <w:rFonts w:ascii="Arial" w:hAnsi="Arial"/>
          <w:b/>
          <w:noProof/>
          <w:lang w:val="pt-BR"/>
        </w:rPr>
        <w:t>Berlin</w:t>
      </w:r>
      <w:r w:rsidR="00664D98" w:rsidRPr="00BF1A2A">
        <w:rPr>
          <w:rFonts w:ascii="Arial" w:hAnsi="Arial"/>
          <w:b/>
          <w:noProof/>
          <w:lang w:val="pt-BR"/>
        </w:rPr>
        <w:t xml:space="preserve">, </w:t>
      </w:r>
      <w:r>
        <w:rPr>
          <w:rFonts w:ascii="Arial" w:hAnsi="Arial"/>
          <w:b/>
          <w:noProof/>
          <w:lang w:val="pt-BR"/>
        </w:rPr>
        <w:t>Germany, 21</w:t>
      </w:r>
      <w:r w:rsidR="00664D98" w:rsidRPr="00BF1A2A">
        <w:rPr>
          <w:rFonts w:ascii="Arial" w:hAnsi="Arial"/>
          <w:b/>
          <w:noProof/>
          <w:lang w:val="pt-BR"/>
        </w:rPr>
        <w:t xml:space="preserve"> – </w:t>
      </w:r>
      <w:r>
        <w:rPr>
          <w:rFonts w:ascii="Arial" w:hAnsi="Arial"/>
          <w:b/>
          <w:noProof/>
          <w:lang w:val="pt-BR"/>
        </w:rPr>
        <w:t>25</w:t>
      </w:r>
      <w:r w:rsidR="00664D98" w:rsidRPr="00BF1A2A">
        <w:rPr>
          <w:rFonts w:ascii="Arial" w:hAnsi="Arial"/>
          <w:b/>
          <w:noProof/>
          <w:lang w:val="pt-BR"/>
        </w:rPr>
        <w:t xml:space="preserve"> </w:t>
      </w:r>
      <w:r>
        <w:rPr>
          <w:rFonts w:ascii="Arial" w:hAnsi="Arial"/>
          <w:b/>
          <w:noProof/>
          <w:lang w:val="pt-BR"/>
        </w:rPr>
        <w:t>August</w:t>
      </w:r>
      <w:r w:rsidR="00664D98" w:rsidRPr="00BF1A2A">
        <w:rPr>
          <w:rFonts w:ascii="Arial" w:hAnsi="Arial"/>
          <w:b/>
          <w:noProof/>
          <w:lang w:val="pt-BR"/>
        </w:rPr>
        <w:t>, 2017</w:t>
      </w:r>
    </w:p>
    <w:p w14:paraId="7D3C7696" w14:textId="77777777" w:rsidR="00664D98" w:rsidRDefault="00664D98" w:rsidP="00664D98">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77777777" w:rsidR="00664D98" w:rsidRPr="00664D98"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AE4634" w:rsidRPr="00AE4634">
        <w:t>RF &amp; EMC emissions combining - frequency ranges</w:t>
      </w:r>
    </w:p>
    <w:p w14:paraId="7E9B3BA8" w14:textId="4630EE1C" w:rsidR="00664D98" w:rsidRPr="00347BDE" w:rsidRDefault="00664D98" w:rsidP="00664D98">
      <w:pPr>
        <w:pStyle w:val="BodyText"/>
        <w:spacing w:after="120"/>
        <w:rPr>
          <w:lang w:val="sv-SE"/>
        </w:rPr>
      </w:pPr>
      <w:r w:rsidRPr="00BF1A2A">
        <w:rPr>
          <w:b/>
          <w:lang w:val="sv-SE"/>
        </w:rPr>
        <w:t>Agenda item:</w:t>
      </w:r>
      <w:r w:rsidRPr="00BF1A2A">
        <w:rPr>
          <w:b/>
          <w:lang w:val="sv-SE"/>
        </w:rPr>
        <w:tab/>
      </w:r>
      <w:r w:rsidRPr="00BF1A2A">
        <w:rPr>
          <w:b/>
          <w:lang w:val="sv-SE"/>
        </w:rPr>
        <w:tab/>
      </w:r>
      <w:r w:rsidR="00804465">
        <w:rPr>
          <w:lang w:val="sv-SE"/>
        </w:rPr>
        <w:t>8.28.3.6</w:t>
      </w:r>
    </w:p>
    <w:p w14:paraId="244C963E" w14:textId="1627DCB8" w:rsidR="00664D98" w:rsidRPr="005C2B50" w:rsidRDefault="00664D98" w:rsidP="00664D98">
      <w:pPr>
        <w:pStyle w:val="BodyText"/>
        <w:spacing w:after="120"/>
        <w:rPr>
          <w:b/>
        </w:rPr>
      </w:pPr>
      <w:r w:rsidRPr="005C2B50">
        <w:rPr>
          <w:b/>
        </w:rPr>
        <w:t>Document for:</w:t>
      </w:r>
      <w:r w:rsidRPr="005C2B50">
        <w:rPr>
          <w:b/>
        </w:rPr>
        <w:tab/>
      </w:r>
      <w:r w:rsidR="00DD64EE">
        <w:t>Discussion</w:t>
      </w:r>
      <w:bookmarkStart w:id="0" w:name="_GoBack"/>
      <w:bookmarkEnd w:id="0"/>
    </w:p>
    <w:p w14:paraId="292C85E4" w14:textId="77777777" w:rsidR="00664D98" w:rsidRDefault="00664D98" w:rsidP="00664D98">
      <w:pPr>
        <w:pStyle w:val="Heading1"/>
        <w:rPr>
          <w:lang w:val="en-US"/>
        </w:rPr>
      </w:pPr>
      <w:r w:rsidRPr="006A67A0">
        <w:rPr>
          <w:lang w:val="en-US"/>
        </w:rPr>
        <w:t>Introduction</w:t>
      </w:r>
    </w:p>
    <w:p w14:paraId="2C194C9A" w14:textId="77777777" w:rsidR="00AE4634" w:rsidRDefault="00AE4634" w:rsidP="00A2368F">
      <w:pPr>
        <w:spacing w:line="276" w:lineRule="auto"/>
        <w:rPr>
          <w:color w:val="000000" w:themeColor="text1"/>
          <w:sz w:val="22"/>
        </w:rPr>
      </w:pPr>
      <w:r>
        <w:rPr>
          <w:color w:val="000000" w:themeColor="text1"/>
          <w:sz w:val="22"/>
        </w:rPr>
        <w:t xml:space="preserve">In RAN4-#83 a way forward was approved on </w:t>
      </w:r>
      <w:r w:rsidRPr="00AE4634">
        <w:rPr>
          <w:rFonts w:hint="eastAsia"/>
          <w:color w:val="000000" w:themeColor="text1"/>
          <w:sz w:val="22"/>
          <w:lang w:val="en-US"/>
        </w:rPr>
        <w:t>alignment of EMC emission and RF RSE requirements</w:t>
      </w:r>
      <w:r>
        <w:rPr>
          <w:color w:val="000000" w:themeColor="text1"/>
          <w:sz w:val="22"/>
        </w:rPr>
        <w:t xml:space="preserve"> [1]. A number of observations to consider when aligning these requirements </w:t>
      </w:r>
      <w:r w:rsidR="0049275A">
        <w:rPr>
          <w:color w:val="000000" w:themeColor="text1"/>
          <w:sz w:val="22"/>
        </w:rPr>
        <w:t>are</w:t>
      </w:r>
      <w:r>
        <w:rPr>
          <w:color w:val="000000" w:themeColor="text1"/>
          <w:sz w:val="22"/>
        </w:rPr>
        <w:t xml:space="preserve"> listed in the WF according to below: </w:t>
      </w:r>
    </w:p>
    <w:p w14:paraId="619C8271" w14:textId="77777777" w:rsidR="00624948" w:rsidRPr="00AE4634" w:rsidRDefault="00D04914" w:rsidP="00AE4634">
      <w:pPr>
        <w:numPr>
          <w:ilvl w:val="0"/>
          <w:numId w:val="28"/>
        </w:numPr>
        <w:spacing w:line="276" w:lineRule="auto"/>
        <w:rPr>
          <w:color w:val="000000" w:themeColor="text1"/>
          <w:sz w:val="22"/>
          <w:lang w:val="en-US"/>
        </w:rPr>
      </w:pPr>
      <w:r w:rsidRPr="00AE4634">
        <w:rPr>
          <w:b/>
          <w:bCs/>
          <w:color w:val="000000" w:themeColor="text1"/>
          <w:sz w:val="22"/>
        </w:rPr>
        <w:t>Observation 1</w:t>
      </w:r>
      <w:r w:rsidRPr="00AE4634">
        <w:rPr>
          <w:color w:val="000000" w:themeColor="text1"/>
          <w:sz w:val="22"/>
        </w:rPr>
        <w:t>: Upper frequency limit for EMC RE and RF RSE requirements is the same for most operating bands (i.e. 12.75 GHz), however in case of the RF RSE there is number of operating bands with the upper frequency limit (5</w:t>
      </w:r>
      <w:r w:rsidRPr="00AE4634">
        <w:rPr>
          <w:color w:val="000000" w:themeColor="text1"/>
          <w:sz w:val="22"/>
          <w:vertAlign w:val="superscript"/>
        </w:rPr>
        <w:t>th</w:t>
      </w:r>
      <w:r w:rsidRPr="00AE4634">
        <w:rPr>
          <w:color w:val="000000" w:themeColor="text1"/>
          <w:sz w:val="22"/>
        </w:rPr>
        <w:t xml:space="preserve"> harmonics based) reaching beyond 12.75 GHz, as per SM.329.</w:t>
      </w:r>
    </w:p>
    <w:p w14:paraId="4C45025D" w14:textId="77777777" w:rsidR="00624948" w:rsidRPr="00AE4634" w:rsidRDefault="00D04914" w:rsidP="00AE4634">
      <w:pPr>
        <w:numPr>
          <w:ilvl w:val="0"/>
          <w:numId w:val="28"/>
        </w:numPr>
        <w:spacing w:line="276" w:lineRule="auto"/>
        <w:rPr>
          <w:color w:val="000000" w:themeColor="text1"/>
          <w:sz w:val="22"/>
          <w:lang w:val="en-US"/>
        </w:rPr>
      </w:pPr>
      <w:r w:rsidRPr="00AE4634">
        <w:rPr>
          <w:b/>
          <w:bCs/>
          <w:color w:val="000000" w:themeColor="text1"/>
          <w:sz w:val="22"/>
        </w:rPr>
        <w:t>Observation 2</w:t>
      </w:r>
      <w:r w:rsidRPr="00AE4634">
        <w:rPr>
          <w:color w:val="000000" w:themeColor="text1"/>
          <w:sz w:val="22"/>
        </w:rPr>
        <w:t>: Terminology used for the EMC RE and RF RSE for the lowest/first and highest/last carrier in the operating band can be confusing during test setup for single EMC RE and RF RSE requirement OTA.</w:t>
      </w:r>
    </w:p>
    <w:p w14:paraId="0E789769" w14:textId="77777777" w:rsidR="00624948" w:rsidRPr="00AE4634" w:rsidRDefault="00D04914" w:rsidP="00AE4634">
      <w:pPr>
        <w:numPr>
          <w:ilvl w:val="0"/>
          <w:numId w:val="28"/>
        </w:numPr>
        <w:spacing w:line="276" w:lineRule="auto"/>
        <w:rPr>
          <w:color w:val="000000" w:themeColor="text1"/>
          <w:sz w:val="22"/>
          <w:lang w:val="en-US"/>
        </w:rPr>
      </w:pPr>
      <w:r w:rsidRPr="00AE4634">
        <w:rPr>
          <w:b/>
          <w:bCs/>
          <w:color w:val="000000" w:themeColor="text1"/>
          <w:sz w:val="22"/>
        </w:rPr>
        <w:t>Observation 3</w:t>
      </w:r>
      <w:r w:rsidRPr="00AE4634">
        <w:rPr>
          <w:color w:val="000000" w:themeColor="text1"/>
          <w:sz w:val="22"/>
        </w:rPr>
        <w:t xml:space="preserve">: There is no EMC RE exclusion specified for UTRA TDD BS 7.68 Mcps option. </w:t>
      </w:r>
    </w:p>
    <w:p w14:paraId="435540A8" w14:textId="77777777" w:rsidR="00624948" w:rsidRPr="00AE4634" w:rsidRDefault="00D04914" w:rsidP="00AE4634">
      <w:pPr>
        <w:numPr>
          <w:ilvl w:val="0"/>
          <w:numId w:val="28"/>
        </w:numPr>
        <w:spacing w:line="276" w:lineRule="auto"/>
        <w:rPr>
          <w:color w:val="000000" w:themeColor="text1"/>
          <w:sz w:val="22"/>
          <w:lang w:val="en-US"/>
        </w:rPr>
      </w:pPr>
      <w:r w:rsidRPr="00AE4634">
        <w:rPr>
          <w:b/>
          <w:bCs/>
          <w:color w:val="000000" w:themeColor="text1"/>
          <w:sz w:val="22"/>
        </w:rPr>
        <w:t>Observation 4</w:t>
      </w:r>
      <w:r w:rsidRPr="00AE4634">
        <w:rPr>
          <w:color w:val="000000" w:themeColor="text1"/>
          <w:sz w:val="22"/>
        </w:rPr>
        <w:t>: Specification of the exclusions for the E-UTRA is phrased using completely different terminology, resulting in various exclusions for the EMC RE and RF RSE requirements. Motivation for such misalignment shall be clarified with the aim to align those terminologies.</w:t>
      </w:r>
    </w:p>
    <w:p w14:paraId="389E38A2" w14:textId="77777777" w:rsidR="00624948" w:rsidRPr="00AE4634" w:rsidRDefault="00D04914" w:rsidP="00AE4634">
      <w:pPr>
        <w:numPr>
          <w:ilvl w:val="0"/>
          <w:numId w:val="28"/>
        </w:numPr>
        <w:spacing w:line="276" w:lineRule="auto"/>
        <w:rPr>
          <w:color w:val="000000" w:themeColor="text1"/>
          <w:sz w:val="22"/>
          <w:lang w:val="en-US"/>
        </w:rPr>
      </w:pPr>
      <w:r w:rsidRPr="00AE4634">
        <w:rPr>
          <w:b/>
          <w:bCs/>
          <w:color w:val="000000" w:themeColor="text1"/>
          <w:sz w:val="22"/>
        </w:rPr>
        <w:t>Observation 5</w:t>
      </w:r>
      <w:r w:rsidRPr="00AE4634">
        <w:rPr>
          <w:color w:val="000000" w:themeColor="text1"/>
          <w:sz w:val="22"/>
        </w:rPr>
        <w:t xml:space="preserve">: Applicability of the transmitter “exclusion bands” to the EMC requirements shall be clarified, i.e. RI only, or RI and Emissions. </w:t>
      </w:r>
    </w:p>
    <w:p w14:paraId="28EF8342" w14:textId="77777777" w:rsidR="00624948" w:rsidRPr="00AE4634" w:rsidRDefault="00D04914" w:rsidP="00AE4634">
      <w:pPr>
        <w:numPr>
          <w:ilvl w:val="0"/>
          <w:numId w:val="28"/>
        </w:numPr>
        <w:spacing w:line="276" w:lineRule="auto"/>
        <w:rPr>
          <w:color w:val="000000" w:themeColor="text1"/>
          <w:sz w:val="22"/>
          <w:lang w:val="en-US"/>
        </w:rPr>
      </w:pPr>
      <w:r w:rsidRPr="00AE4634">
        <w:rPr>
          <w:b/>
          <w:bCs/>
          <w:color w:val="000000" w:themeColor="text1"/>
          <w:sz w:val="22"/>
        </w:rPr>
        <w:t>Observation 6</w:t>
      </w:r>
      <w:r w:rsidRPr="00AE4634">
        <w:rPr>
          <w:color w:val="000000" w:themeColor="text1"/>
          <w:sz w:val="22"/>
        </w:rPr>
        <w:t xml:space="preserve">: Motivation for lack of TX exclusion bands in case of the MSR EMC specification shall be clarified. </w:t>
      </w:r>
    </w:p>
    <w:p w14:paraId="078B3DBE" w14:textId="7C7C0C5E" w:rsidR="00AE4634" w:rsidRPr="00AE4634" w:rsidRDefault="00AE4634" w:rsidP="00AE4634">
      <w:pPr>
        <w:spacing w:line="276" w:lineRule="auto"/>
        <w:rPr>
          <w:color w:val="000000" w:themeColor="text1"/>
          <w:sz w:val="22"/>
          <w:lang w:val="en-US"/>
        </w:rPr>
      </w:pPr>
      <w:r>
        <w:rPr>
          <w:color w:val="000000" w:themeColor="text1"/>
          <w:sz w:val="22"/>
          <w:lang w:val="en-US"/>
        </w:rPr>
        <w:t xml:space="preserve">In the WF </w:t>
      </w:r>
      <w:r w:rsidR="00734584" w:rsidRPr="00AE4634">
        <w:rPr>
          <w:color w:val="000000" w:themeColor="text1"/>
          <w:sz w:val="22"/>
        </w:rPr>
        <w:t>interested</w:t>
      </w:r>
      <w:r w:rsidRPr="00AE4634">
        <w:rPr>
          <w:color w:val="000000" w:themeColor="text1"/>
          <w:sz w:val="22"/>
        </w:rPr>
        <w:t xml:space="preserve"> companies are encouraged to provide contributions addressing the mi</w:t>
      </w:r>
      <w:r w:rsidR="0049275A">
        <w:rPr>
          <w:color w:val="000000" w:themeColor="text1"/>
          <w:sz w:val="22"/>
        </w:rPr>
        <w:t>salignments observed</w:t>
      </w:r>
      <w:r w:rsidRPr="00AE4634">
        <w:rPr>
          <w:color w:val="000000" w:themeColor="text1"/>
          <w:sz w:val="22"/>
        </w:rPr>
        <w:t xml:space="preserve">, with the aim to identify feasible and efficient OTA test requirement definition for the RF RSE and EMC RE requirements in AAS EMC specification in TS 37.114. </w:t>
      </w:r>
    </w:p>
    <w:p w14:paraId="03CC4F6F" w14:textId="77777777" w:rsidR="00AE4634" w:rsidRPr="00AE4634" w:rsidRDefault="0049275A" w:rsidP="00AE4634">
      <w:pPr>
        <w:spacing w:line="276" w:lineRule="auto"/>
        <w:rPr>
          <w:color w:val="000000" w:themeColor="text1"/>
          <w:sz w:val="22"/>
          <w:lang w:val="en-US"/>
        </w:rPr>
      </w:pPr>
      <w:r>
        <w:rPr>
          <w:color w:val="000000" w:themeColor="text1"/>
          <w:sz w:val="22"/>
          <w:lang w:val="en-US"/>
        </w:rPr>
        <w:t>The WF also notes that t</w:t>
      </w:r>
      <w:r w:rsidR="00AE4634" w:rsidRPr="00AE4634">
        <w:rPr>
          <w:color w:val="000000" w:themeColor="text1"/>
          <w:sz w:val="22"/>
          <w:lang w:val="en-US"/>
        </w:rPr>
        <w:t xml:space="preserve">he following aspects shall be considered in future discussions: </w:t>
      </w:r>
    </w:p>
    <w:p w14:paraId="50100BA6" w14:textId="77777777" w:rsidR="00624948" w:rsidRPr="00AE4634" w:rsidRDefault="00D04914" w:rsidP="00AE4634">
      <w:pPr>
        <w:numPr>
          <w:ilvl w:val="0"/>
          <w:numId w:val="29"/>
        </w:numPr>
        <w:spacing w:line="276" w:lineRule="auto"/>
        <w:rPr>
          <w:color w:val="000000" w:themeColor="text1"/>
          <w:sz w:val="22"/>
          <w:lang w:val="en-US"/>
        </w:rPr>
      </w:pPr>
      <w:r w:rsidRPr="00AE4634">
        <w:rPr>
          <w:color w:val="000000" w:themeColor="text1"/>
          <w:sz w:val="22"/>
          <w:lang w:val="en-US"/>
        </w:rPr>
        <w:t>As the Rel-13 AAS EMC specification is fully dependent on the requirements specified in UTRA, E-UTR</w:t>
      </w:r>
      <w:r w:rsidR="0049275A">
        <w:rPr>
          <w:color w:val="000000" w:themeColor="text1"/>
          <w:sz w:val="22"/>
          <w:lang w:val="en-US"/>
        </w:rPr>
        <w:t>A and MSR EMC specifications in</w:t>
      </w:r>
      <w:r w:rsidRPr="00AE4634">
        <w:rPr>
          <w:color w:val="000000" w:themeColor="text1"/>
          <w:sz w:val="22"/>
          <w:lang w:val="en-US"/>
        </w:rPr>
        <w:t>, currently it</w:t>
      </w:r>
      <w:r w:rsidR="0049275A">
        <w:rPr>
          <w:color w:val="000000" w:themeColor="text1"/>
          <w:sz w:val="22"/>
          <w:lang w:val="en-US"/>
        </w:rPr>
        <w:t xml:space="preserve"> i</w:t>
      </w:r>
      <w:r w:rsidRPr="00AE4634">
        <w:rPr>
          <w:color w:val="000000" w:themeColor="text1"/>
          <w:sz w:val="22"/>
          <w:lang w:val="en-US"/>
        </w:rPr>
        <w:t>s not possible to solve misalignments within the eAAS WI scope (i.e. range of CR’s to SRAT/MSR EMC specifications).</w:t>
      </w:r>
    </w:p>
    <w:p w14:paraId="129BAD3C" w14:textId="77777777" w:rsidR="00624948" w:rsidRPr="00AE4634" w:rsidRDefault="00D04914" w:rsidP="00AE4634">
      <w:pPr>
        <w:numPr>
          <w:ilvl w:val="0"/>
          <w:numId w:val="29"/>
        </w:numPr>
        <w:spacing w:line="276" w:lineRule="auto"/>
        <w:rPr>
          <w:color w:val="000000" w:themeColor="text1"/>
          <w:sz w:val="22"/>
          <w:lang w:val="en-US"/>
        </w:rPr>
      </w:pPr>
      <w:r w:rsidRPr="00AE4634">
        <w:rPr>
          <w:color w:val="000000" w:themeColor="text1"/>
          <w:sz w:val="22"/>
          <w:lang w:val="en-US"/>
        </w:rPr>
        <w:t xml:space="preserve">Definition of the OTA test requirement for the RF RSE and EMC RE without resolution </w:t>
      </w:r>
      <w:r w:rsidR="0049275A">
        <w:rPr>
          <w:color w:val="000000" w:themeColor="text1"/>
          <w:sz w:val="22"/>
          <w:lang w:val="en-US"/>
        </w:rPr>
        <w:t>of the misalignments</w:t>
      </w:r>
      <w:r w:rsidRPr="00AE4634">
        <w:rPr>
          <w:color w:val="000000" w:themeColor="text1"/>
          <w:sz w:val="22"/>
          <w:lang w:val="en-US"/>
        </w:rPr>
        <w:t xml:space="preserve">, might lead to complex requirement’s definition (e.g. varying emissions level depending on those two ranges overlapping) and complicated test procedure, further extending the testing time of the TRP testing for the radiated spurious and EMC emissions. </w:t>
      </w:r>
    </w:p>
    <w:p w14:paraId="795186AC" w14:textId="77777777" w:rsidR="002E57B8" w:rsidRPr="008F3124" w:rsidRDefault="00664D98" w:rsidP="00A2368F">
      <w:pPr>
        <w:spacing w:line="276" w:lineRule="auto"/>
        <w:rPr>
          <w:color w:val="000000" w:themeColor="text1"/>
          <w:sz w:val="22"/>
        </w:rPr>
      </w:pPr>
      <w:r w:rsidRPr="008F3124">
        <w:rPr>
          <w:color w:val="000000" w:themeColor="text1"/>
          <w:sz w:val="22"/>
        </w:rPr>
        <w:t xml:space="preserve">This contribution is </w:t>
      </w:r>
      <w:r w:rsidR="0049275A">
        <w:rPr>
          <w:color w:val="000000" w:themeColor="text1"/>
          <w:sz w:val="22"/>
        </w:rPr>
        <w:t xml:space="preserve">aiming to resolve the above identified misalignments in the most straight-forward manner for OTA AAS BS, without issuing a range of CR’s to single-RAT / MSR EMC specifications. </w:t>
      </w:r>
    </w:p>
    <w:p w14:paraId="47A8774F" w14:textId="77777777" w:rsidR="002E57B8" w:rsidRPr="002E57B8" w:rsidRDefault="002E57B8" w:rsidP="002E57B8">
      <w:pPr>
        <w:pStyle w:val="Heading1"/>
      </w:pPr>
      <w:r>
        <w:t>Discussion</w:t>
      </w:r>
    </w:p>
    <w:p w14:paraId="24F5F13C" w14:textId="77777777" w:rsidR="0049275A" w:rsidRDefault="0049275A" w:rsidP="00A2368F">
      <w:pPr>
        <w:rPr>
          <w:color w:val="000000" w:themeColor="text1"/>
          <w:sz w:val="22"/>
        </w:rPr>
      </w:pPr>
      <w:r>
        <w:rPr>
          <w:color w:val="000000" w:themeColor="text1"/>
          <w:sz w:val="22"/>
        </w:rPr>
        <w:t>As detailed in [1] and repeated in the introduction of this contribution, there are a number of misalignments in the RF RSE and EMC emission requirements that need to be resolved when specifying the combined c</w:t>
      </w:r>
      <w:r w:rsidRPr="0049275A">
        <w:rPr>
          <w:color w:val="000000" w:themeColor="text1"/>
          <w:sz w:val="22"/>
        </w:rPr>
        <w:t xml:space="preserve">onformance </w:t>
      </w:r>
      <w:r w:rsidRPr="0049275A">
        <w:rPr>
          <w:color w:val="000000" w:themeColor="text1"/>
          <w:sz w:val="22"/>
        </w:rPr>
        <w:lastRenderedPageBreak/>
        <w:t xml:space="preserve">requirement for the TX spurious requirement OTA </w:t>
      </w:r>
      <w:r>
        <w:rPr>
          <w:color w:val="000000" w:themeColor="text1"/>
          <w:sz w:val="22"/>
        </w:rPr>
        <w:t>and</w:t>
      </w:r>
      <w:r w:rsidRPr="0049275A">
        <w:rPr>
          <w:color w:val="000000" w:themeColor="text1"/>
          <w:sz w:val="22"/>
        </w:rPr>
        <w:t xml:space="preserve"> EMC RE requirement OTA</w:t>
      </w:r>
      <w:r>
        <w:rPr>
          <w:color w:val="000000" w:themeColor="text1"/>
          <w:sz w:val="22"/>
        </w:rPr>
        <w:t>. This combination is regarded a necessity</w:t>
      </w:r>
      <w:r w:rsidRPr="0049275A">
        <w:rPr>
          <w:color w:val="000000" w:themeColor="text1"/>
          <w:sz w:val="22"/>
        </w:rPr>
        <w:t>, as there is no possibility to separate those requirements in OTA test setup. The resulting test requirement will be subject to single test setup an</w:t>
      </w:r>
      <w:r w:rsidR="002C7DAA">
        <w:rPr>
          <w:color w:val="000000" w:themeColor="text1"/>
          <w:sz w:val="22"/>
        </w:rPr>
        <w:t>d single measurement procedure.</w:t>
      </w:r>
    </w:p>
    <w:p w14:paraId="0A3454FB" w14:textId="77777777" w:rsidR="008245BD" w:rsidRDefault="008245BD" w:rsidP="00A2368F">
      <w:pPr>
        <w:rPr>
          <w:color w:val="000000" w:themeColor="text1"/>
          <w:sz w:val="22"/>
        </w:rPr>
      </w:pPr>
      <w:r>
        <w:rPr>
          <w:color w:val="000000" w:themeColor="text1"/>
          <w:sz w:val="22"/>
        </w:rPr>
        <w:t xml:space="preserve">The observations listed in the introduction are here discussed in consecutive order and a solution is proposed for each one of them. </w:t>
      </w:r>
    </w:p>
    <w:p w14:paraId="7742110D" w14:textId="77777777" w:rsidR="00734584" w:rsidRDefault="008304D5" w:rsidP="00734584">
      <w:pPr>
        <w:pStyle w:val="ListParagraph"/>
        <w:numPr>
          <w:ilvl w:val="0"/>
          <w:numId w:val="30"/>
        </w:numPr>
        <w:ind w:firstLineChars="0"/>
        <w:rPr>
          <w:color w:val="000000" w:themeColor="text1"/>
          <w:sz w:val="22"/>
        </w:rPr>
      </w:pPr>
      <w:r>
        <w:rPr>
          <w:color w:val="000000" w:themeColor="text1"/>
          <w:sz w:val="22"/>
        </w:rPr>
        <w:t>The upper frequency limits for EMC RE and RF RSE are different for certain frequency bands.</w:t>
      </w:r>
      <w:r w:rsidR="00E708FE">
        <w:rPr>
          <w:color w:val="000000" w:themeColor="text1"/>
          <w:sz w:val="22"/>
        </w:rPr>
        <w:t xml:space="preserve"> </w:t>
      </w:r>
    </w:p>
    <w:p w14:paraId="4D2D88F4" w14:textId="7C6AD269" w:rsidR="00734584" w:rsidRDefault="00734584" w:rsidP="00734584">
      <w:pPr>
        <w:pStyle w:val="ListParagraph"/>
        <w:ind w:left="720" w:firstLineChars="0" w:firstLine="0"/>
        <w:rPr>
          <w:color w:val="000000" w:themeColor="text1"/>
          <w:sz w:val="22"/>
        </w:rPr>
      </w:pPr>
      <w:r>
        <w:rPr>
          <w:color w:val="000000" w:themeColor="text1"/>
          <w:sz w:val="22"/>
        </w:rPr>
        <w:t xml:space="preserve">The following text has already been agreed in TR 37.843: </w:t>
      </w:r>
    </w:p>
    <w:p w14:paraId="29170D8B" w14:textId="085B8E85" w:rsidR="00734584" w:rsidRPr="00734584" w:rsidRDefault="00734584" w:rsidP="00734584">
      <w:pPr>
        <w:pStyle w:val="ListParagraph"/>
        <w:numPr>
          <w:ilvl w:val="0"/>
          <w:numId w:val="32"/>
        </w:numPr>
        <w:ind w:firstLineChars="0"/>
        <w:rPr>
          <w:i/>
          <w:color w:val="000000" w:themeColor="text1"/>
          <w:sz w:val="22"/>
        </w:rPr>
      </w:pPr>
      <w:r w:rsidRPr="00734584">
        <w:rPr>
          <w:i/>
          <w:color w:val="000000" w:themeColor="text1"/>
          <w:sz w:val="22"/>
        </w:rPr>
        <w:t>The combined requirement will then contain a RF RSE component and an EMC RE component as shown in Figure 8.5-1 and the total emission requirement will be a linear sum of these two requirements for the frequency ranges where each of those two requirements apply.</w:t>
      </w:r>
    </w:p>
    <w:p w14:paraId="69FA1D84" w14:textId="39AE6F5D" w:rsidR="00734584" w:rsidRPr="00734584" w:rsidRDefault="00734584" w:rsidP="00CF3190">
      <w:pPr>
        <w:pStyle w:val="ListParagraph"/>
        <w:ind w:left="720" w:firstLineChars="0" w:firstLine="0"/>
        <w:rPr>
          <w:color w:val="000000" w:themeColor="text1"/>
          <w:sz w:val="22"/>
        </w:rPr>
      </w:pPr>
      <w:r>
        <w:rPr>
          <w:color w:val="000000" w:themeColor="text1"/>
          <w:sz w:val="22"/>
        </w:rPr>
        <w:t xml:space="preserve">The agreed text above means that for frequency ranges where only the RF RSE requirement applies there will be no sum. Instead the limit will be based on only the RF RSE requirement. </w:t>
      </w:r>
    </w:p>
    <w:p w14:paraId="7FFE8ED8" w14:textId="3B774761" w:rsidR="00E708FE" w:rsidRPr="00E708FE" w:rsidRDefault="00E708FE" w:rsidP="00CF3190">
      <w:pPr>
        <w:pStyle w:val="ListParagraph"/>
        <w:ind w:left="720" w:firstLineChars="0" w:firstLine="0"/>
        <w:rPr>
          <w:color w:val="000000" w:themeColor="text1"/>
          <w:sz w:val="22"/>
        </w:rPr>
      </w:pPr>
      <w:r w:rsidRPr="00E708FE">
        <w:rPr>
          <w:b/>
          <w:i/>
          <w:color w:val="000000" w:themeColor="text1"/>
          <w:sz w:val="22"/>
        </w:rPr>
        <w:t xml:space="preserve">Proposal 1: </w:t>
      </w:r>
      <w:r w:rsidR="00DD01E6" w:rsidRPr="00E708FE">
        <w:rPr>
          <w:b/>
          <w:i/>
          <w:color w:val="000000" w:themeColor="text1"/>
          <w:sz w:val="22"/>
        </w:rPr>
        <w:t>The combined EMC RE and RF RSE test methodology should be defined for the frequency rang</w:t>
      </w:r>
      <w:r w:rsidR="008C4553">
        <w:rPr>
          <w:b/>
          <w:i/>
          <w:color w:val="000000" w:themeColor="text1"/>
          <w:sz w:val="22"/>
        </w:rPr>
        <w:t>e according to what is specified</w:t>
      </w:r>
      <w:r w:rsidR="00DD01E6" w:rsidRPr="00E708FE">
        <w:rPr>
          <w:b/>
          <w:i/>
          <w:color w:val="000000" w:themeColor="text1"/>
          <w:sz w:val="22"/>
        </w:rPr>
        <w:t xml:space="preserve"> for</w:t>
      </w:r>
      <w:r w:rsidR="00E61353">
        <w:rPr>
          <w:b/>
          <w:i/>
          <w:color w:val="000000" w:themeColor="text1"/>
          <w:sz w:val="22"/>
        </w:rPr>
        <w:t xml:space="preserve"> the legacy</w:t>
      </w:r>
      <w:r w:rsidR="00DD01E6" w:rsidRPr="00E708FE">
        <w:rPr>
          <w:b/>
          <w:i/>
          <w:color w:val="000000" w:themeColor="text1"/>
          <w:sz w:val="22"/>
        </w:rPr>
        <w:t xml:space="preserve"> RF RSE</w:t>
      </w:r>
      <w:r w:rsidR="008C4553">
        <w:rPr>
          <w:b/>
          <w:i/>
          <w:color w:val="000000" w:themeColor="text1"/>
          <w:sz w:val="22"/>
        </w:rPr>
        <w:t xml:space="preserve"> </w:t>
      </w:r>
      <w:r w:rsidR="00E61353">
        <w:rPr>
          <w:b/>
          <w:i/>
          <w:color w:val="000000" w:themeColor="text1"/>
          <w:sz w:val="22"/>
        </w:rPr>
        <w:t xml:space="preserve">requirement </w:t>
      </w:r>
      <w:r w:rsidR="008C4553">
        <w:rPr>
          <w:b/>
          <w:i/>
          <w:color w:val="000000" w:themeColor="text1"/>
          <w:sz w:val="22"/>
        </w:rPr>
        <w:t xml:space="preserve">(i.e. upper frequency limit reaching beyond 12.75 GHz </w:t>
      </w:r>
      <w:r w:rsidR="003B0574">
        <w:rPr>
          <w:b/>
          <w:i/>
          <w:color w:val="000000" w:themeColor="text1"/>
          <w:sz w:val="22"/>
        </w:rPr>
        <w:t>and up to 5</w:t>
      </w:r>
      <w:r w:rsidR="003B0574" w:rsidRPr="003B0574">
        <w:rPr>
          <w:b/>
          <w:i/>
          <w:color w:val="000000" w:themeColor="text1"/>
          <w:sz w:val="22"/>
          <w:vertAlign w:val="superscript"/>
        </w:rPr>
        <w:t>th</w:t>
      </w:r>
      <w:r w:rsidR="003B0574">
        <w:rPr>
          <w:b/>
          <w:i/>
          <w:color w:val="000000" w:themeColor="text1"/>
          <w:sz w:val="22"/>
        </w:rPr>
        <w:t xml:space="preserve"> harmonics </w:t>
      </w:r>
      <w:r w:rsidR="008C4553">
        <w:rPr>
          <w:b/>
          <w:i/>
          <w:color w:val="000000" w:themeColor="text1"/>
          <w:sz w:val="22"/>
        </w:rPr>
        <w:t>for certain frequency bands)</w:t>
      </w:r>
      <w:r w:rsidR="00DD01E6" w:rsidRPr="00E708FE">
        <w:rPr>
          <w:b/>
          <w:i/>
          <w:color w:val="000000" w:themeColor="text1"/>
          <w:sz w:val="22"/>
        </w:rPr>
        <w:t xml:space="preserve"> and the</w:t>
      </w:r>
      <w:r w:rsidRPr="00E708FE">
        <w:rPr>
          <w:b/>
          <w:i/>
          <w:color w:val="000000" w:themeColor="text1"/>
          <w:sz w:val="22"/>
        </w:rPr>
        <w:t xml:space="preserve"> combined</w:t>
      </w:r>
      <w:r w:rsidR="00DD01E6" w:rsidRPr="00E708FE">
        <w:rPr>
          <w:b/>
          <w:i/>
          <w:color w:val="000000" w:themeColor="text1"/>
          <w:sz w:val="22"/>
        </w:rPr>
        <w:t xml:space="preserve"> limit should be defined </w:t>
      </w:r>
      <w:r w:rsidR="00BB04CB">
        <w:rPr>
          <w:b/>
          <w:i/>
          <w:color w:val="000000" w:themeColor="text1"/>
          <w:sz w:val="22"/>
        </w:rPr>
        <w:t xml:space="preserve">as a </w:t>
      </w:r>
      <w:r w:rsidR="008C4553">
        <w:rPr>
          <w:b/>
          <w:i/>
          <w:color w:val="000000" w:themeColor="text1"/>
          <w:sz w:val="22"/>
        </w:rPr>
        <w:t xml:space="preserve">linear </w:t>
      </w:r>
      <w:r w:rsidR="00BB04CB">
        <w:rPr>
          <w:b/>
          <w:i/>
          <w:color w:val="000000" w:themeColor="text1"/>
          <w:sz w:val="22"/>
        </w:rPr>
        <w:t>sum</w:t>
      </w:r>
      <w:r w:rsidR="008C4553">
        <w:rPr>
          <w:b/>
          <w:i/>
          <w:color w:val="000000" w:themeColor="text1"/>
          <w:sz w:val="22"/>
        </w:rPr>
        <w:t xml:space="preserve"> of</w:t>
      </w:r>
      <w:r w:rsidR="00BB04CB">
        <w:rPr>
          <w:b/>
          <w:i/>
          <w:color w:val="000000" w:themeColor="text1"/>
          <w:sz w:val="22"/>
        </w:rPr>
        <w:t xml:space="preserve"> the</w:t>
      </w:r>
      <w:r w:rsidR="008C4553">
        <w:rPr>
          <w:b/>
          <w:i/>
          <w:color w:val="000000" w:themeColor="text1"/>
          <w:sz w:val="22"/>
        </w:rPr>
        <w:t xml:space="preserve"> RF RSE limit </w:t>
      </w:r>
      <w:r w:rsidR="00BB04CB">
        <w:rPr>
          <w:b/>
          <w:i/>
          <w:color w:val="000000" w:themeColor="text1"/>
          <w:sz w:val="22"/>
        </w:rPr>
        <w:t>and the</w:t>
      </w:r>
      <w:r w:rsidR="008C4553">
        <w:rPr>
          <w:b/>
          <w:i/>
          <w:color w:val="000000" w:themeColor="text1"/>
          <w:sz w:val="22"/>
        </w:rPr>
        <w:t xml:space="preserve"> EMC RE limit</w:t>
      </w:r>
      <w:r w:rsidR="00BB04CB">
        <w:rPr>
          <w:b/>
          <w:i/>
          <w:color w:val="000000" w:themeColor="text1"/>
          <w:sz w:val="22"/>
        </w:rPr>
        <w:t xml:space="preserve"> for frequency ranges where both requirements apply</w:t>
      </w:r>
      <w:r w:rsidR="00734584">
        <w:rPr>
          <w:b/>
          <w:i/>
          <w:color w:val="000000" w:themeColor="text1"/>
          <w:sz w:val="22"/>
        </w:rPr>
        <w:t xml:space="preserve">. In the frequency range where only the RF RSE applies, only the RF RSE limit shall be applied. </w:t>
      </w:r>
    </w:p>
    <w:p w14:paraId="63BAFB43" w14:textId="3F787673" w:rsidR="00E708FE" w:rsidRDefault="00E708FE" w:rsidP="00E708FE">
      <w:pPr>
        <w:pStyle w:val="ListParagraph"/>
        <w:numPr>
          <w:ilvl w:val="0"/>
          <w:numId w:val="30"/>
        </w:numPr>
        <w:ind w:firstLineChars="0"/>
        <w:rPr>
          <w:b/>
          <w:i/>
          <w:color w:val="000000" w:themeColor="text1"/>
          <w:sz w:val="22"/>
        </w:rPr>
      </w:pPr>
      <w:r w:rsidRPr="00E708FE">
        <w:rPr>
          <w:color w:val="000000" w:themeColor="text1"/>
          <w:sz w:val="22"/>
        </w:rPr>
        <w:t>The terminology used for EMC RE and RF RSE for the lowest / first carrier and highest / last carrier is different. This problem is resolved by the following proposal:</w:t>
      </w:r>
      <w:r>
        <w:rPr>
          <w:color w:val="000000" w:themeColor="text1"/>
          <w:sz w:val="22"/>
        </w:rPr>
        <w:br/>
      </w:r>
      <w:r>
        <w:rPr>
          <w:color w:val="000000" w:themeColor="text1"/>
          <w:sz w:val="22"/>
        </w:rPr>
        <w:br/>
      </w:r>
      <w:r w:rsidRPr="00E708FE">
        <w:rPr>
          <w:b/>
          <w:i/>
          <w:color w:val="000000" w:themeColor="text1"/>
          <w:sz w:val="22"/>
        </w:rPr>
        <w:t xml:space="preserve">Proposal 2: </w:t>
      </w:r>
      <w:r w:rsidR="00EC3EF1">
        <w:rPr>
          <w:b/>
          <w:i/>
          <w:color w:val="000000" w:themeColor="text1"/>
          <w:sz w:val="22"/>
        </w:rPr>
        <w:t xml:space="preserve">By avoiding referencing the conducted requirements terminology misalignments can be resolved. </w:t>
      </w:r>
    </w:p>
    <w:p w14:paraId="7D847BE3" w14:textId="6C87D004" w:rsidR="00DD64EE" w:rsidRPr="00DD64EE" w:rsidRDefault="00DD64EE" w:rsidP="00D40F97">
      <w:pPr>
        <w:pStyle w:val="ListParagraph"/>
        <w:numPr>
          <w:ilvl w:val="0"/>
          <w:numId w:val="30"/>
        </w:numPr>
        <w:ind w:firstLineChars="0"/>
        <w:rPr>
          <w:b/>
          <w:i/>
          <w:color w:val="000000" w:themeColor="text1"/>
          <w:sz w:val="22"/>
        </w:rPr>
      </w:pPr>
      <w:r>
        <w:rPr>
          <w:color w:val="000000" w:themeColor="text1"/>
          <w:sz w:val="22"/>
        </w:rPr>
        <w:t xml:space="preserve">No exclusion bands for EMC RE UTRA TDD BS 7.68 Mcps option. </w:t>
      </w:r>
    </w:p>
    <w:p w14:paraId="174630DA" w14:textId="3A417DD1" w:rsidR="00D40F97" w:rsidRPr="00D40F97" w:rsidRDefault="00D40F97" w:rsidP="00DD64EE">
      <w:pPr>
        <w:pStyle w:val="ListParagraph"/>
        <w:ind w:left="720" w:firstLineChars="0" w:firstLine="0"/>
        <w:rPr>
          <w:b/>
          <w:i/>
          <w:color w:val="000000" w:themeColor="text1"/>
          <w:sz w:val="22"/>
        </w:rPr>
      </w:pPr>
      <w:r>
        <w:rPr>
          <w:color w:val="000000" w:themeColor="text1"/>
          <w:sz w:val="22"/>
        </w:rPr>
        <w:t>After studying TS 25.113 there are actually exclusion bands specified also for UTRA TDD BS 7.68 Mcps, meaning that Observation 3 can be ignored. There are, however, no test methodology specified and no limits for the UTRA TDD BS 7.68 Mcps case. One may, however, assume that the limits and test methodology is the same as for the other UTRA TDD options. The solution to this issue is proposed below:</w:t>
      </w:r>
      <w:r>
        <w:rPr>
          <w:color w:val="000000" w:themeColor="text1"/>
          <w:sz w:val="22"/>
        </w:rPr>
        <w:br/>
      </w:r>
      <w:r>
        <w:rPr>
          <w:color w:val="000000" w:themeColor="text1"/>
          <w:sz w:val="22"/>
        </w:rPr>
        <w:br/>
      </w:r>
      <w:r>
        <w:rPr>
          <w:b/>
          <w:i/>
          <w:color w:val="000000" w:themeColor="text1"/>
          <w:sz w:val="22"/>
        </w:rPr>
        <w:t xml:space="preserve">Proposal 3: Assume the same EMC RE limit for UTRA TDD BS 7.68 Mcps option as for the other UTRA TDD options when specifying the total limit for the combined measurement. </w:t>
      </w:r>
    </w:p>
    <w:p w14:paraId="7ACCEA2B" w14:textId="455D7877" w:rsidR="00A85BF6" w:rsidRPr="00A85BF6" w:rsidRDefault="00DC62AE" w:rsidP="00DC62AE">
      <w:pPr>
        <w:pStyle w:val="ListParagraph"/>
        <w:numPr>
          <w:ilvl w:val="0"/>
          <w:numId w:val="30"/>
        </w:numPr>
        <w:ind w:firstLineChars="0"/>
        <w:rPr>
          <w:b/>
          <w:i/>
          <w:color w:val="000000" w:themeColor="text1"/>
          <w:sz w:val="22"/>
        </w:rPr>
      </w:pPr>
      <w:r>
        <w:rPr>
          <w:color w:val="000000" w:themeColor="text1"/>
          <w:sz w:val="22"/>
        </w:rPr>
        <w:t xml:space="preserve">The exclusion bands for E-UTRA is defined differently for EMC RE and RF RSE requirements. </w:t>
      </w:r>
      <w:r w:rsidR="0049374F">
        <w:rPr>
          <w:color w:val="000000" w:themeColor="text1"/>
          <w:sz w:val="22"/>
        </w:rPr>
        <w:t xml:space="preserve">For RF RSE the exclusion band is </w:t>
      </w:r>
      <w:r w:rsidR="0049374F" w:rsidRPr="0049374F">
        <w:rPr>
          <w:color w:val="000000" w:themeColor="text1"/>
          <w:sz w:val="22"/>
        </w:rPr>
        <w:t>from 10 MHz below the lowest frequency of the downlink operating band up to 10 MHz above the highest frequency of the downlink</w:t>
      </w:r>
      <w:r w:rsidR="0049374F" w:rsidRPr="0049374F" w:rsidDel="00B62512">
        <w:rPr>
          <w:color w:val="000000" w:themeColor="text1"/>
          <w:sz w:val="22"/>
        </w:rPr>
        <w:t xml:space="preserve"> </w:t>
      </w:r>
      <w:r w:rsidR="0049374F" w:rsidRPr="0049374F">
        <w:rPr>
          <w:color w:val="000000" w:themeColor="text1"/>
          <w:sz w:val="22"/>
        </w:rPr>
        <w:t>operating band</w:t>
      </w:r>
      <w:r w:rsidR="0049374F">
        <w:rPr>
          <w:color w:val="000000" w:themeColor="text1"/>
          <w:sz w:val="22"/>
        </w:rPr>
        <w:t>, wheras for EMC RE the exclusion band is defined as lower carrier frequency used</w:t>
      </w:r>
      <w:r w:rsidR="0049374F" w:rsidRPr="0049374F">
        <w:rPr>
          <w:sz w:val="22"/>
          <w:szCs w:val="22"/>
          <w:lang w:eastAsia="en-GB"/>
        </w:rPr>
        <w:t xml:space="preserve">- </w:t>
      </w:r>
      <w:r w:rsidR="0049374F" w:rsidRPr="0049374F">
        <w:rPr>
          <w:rFonts w:cs="v4.2.0"/>
          <w:sz w:val="22"/>
          <w:szCs w:val="22"/>
          <w:lang w:eastAsia="en-GB"/>
        </w:rPr>
        <w:t xml:space="preserve">2.5 x </w:t>
      </w:r>
      <w:r w:rsidR="0049374F" w:rsidRPr="0049374F">
        <w:rPr>
          <w:sz w:val="22"/>
          <w:szCs w:val="22"/>
        </w:rPr>
        <w:t>BW</w:t>
      </w:r>
      <w:r w:rsidR="0049374F" w:rsidRPr="0049374F">
        <w:rPr>
          <w:sz w:val="22"/>
          <w:szCs w:val="22"/>
          <w:vertAlign w:val="subscript"/>
        </w:rPr>
        <w:t>Channel</w:t>
      </w:r>
      <w:r w:rsidR="0049374F" w:rsidRPr="0049374F">
        <w:rPr>
          <w:rFonts w:cs="v4.2.0"/>
          <w:sz w:val="22"/>
          <w:szCs w:val="22"/>
          <w:lang w:eastAsia="en-GB"/>
        </w:rPr>
        <w:t> </w:t>
      </w:r>
      <w:r w:rsidR="0049374F" w:rsidRPr="0049374F">
        <w:rPr>
          <w:sz w:val="22"/>
          <w:szCs w:val="22"/>
          <w:lang w:eastAsia="en-GB"/>
        </w:rPr>
        <w:t xml:space="preserve">MHz to upper carrier frequency used + </w:t>
      </w:r>
      <w:r w:rsidR="0049374F" w:rsidRPr="0049374F">
        <w:rPr>
          <w:rFonts w:cs="v4.2.0"/>
          <w:sz w:val="22"/>
          <w:szCs w:val="22"/>
          <w:lang w:eastAsia="en-GB"/>
        </w:rPr>
        <w:t xml:space="preserve">2.5 x </w:t>
      </w:r>
      <w:r w:rsidR="0049374F" w:rsidRPr="0049374F">
        <w:rPr>
          <w:sz w:val="22"/>
          <w:szCs w:val="22"/>
        </w:rPr>
        <w:t>BW</w:t>
      </w:r>
      <w:r w:rsidR="0049374F" w:rsidRPr="0049374F">
        <w:rPr>
          <w:sz w:val="22"/>
          <w:szCs w:val="22"/>
          <w:vertAlign w:val="subscript"/>
        </w:rPr>
        <w:t>Channel</w:t>
      </w:r>
      <w:r w:rsidR="0049374F" w:rsidRPr="0049374F">
        <w:rPr>
          <w:rFonts w:cs="v4.2.0"/>
          <w:sz w:val="22"/>
          <w:szCs w:val="22"/>
          <w:lang w:eastAsia="en-GB"/>
        </w:rPr>
        <w:t> </w:t>
      </w:r>
      <w:r w:rsidR="0049374F" w:rsidRPr="0049374F">
        <w:rPr>
          <w:sz w:val="22"/>
          <w:szCs w:val="22"/>
          <w:lang w:eastAsia="en-GB"/>
        </w:rPr>
        <w:t xml:space="preserve"> MHz</w:t>
      </w:r>
      <w:r w:rsidR="0049374F" w:rsidRPr="0049374F">
        <w:rPr>
          <w:rFonts w:cs="v4.2.0"/>
          <w:sz w:val="22"/>
          <w:szCs w:val="22"/>
          <w:lang w:eastAsia="en-GB"/>
        </w:rPr>
        <w:t xml:space="preserve">, where </w:t>
      </w:r>
      <w:r w:rsidR="0049374F" w:rsidRPr="0049374F">
        <w:rPr>
          <w:sz w:val="22"/>
          <w:szCs w:val="22"/>
        </w:rPr>
        <w:t>BW</w:t>
      </w:r>
      <w:r w:rsidR="0049374F" w:rsidRPr="0049374F">
        <w:rPr>
          <w:sz w:val="22"/>
          <w:szCs w:val="22"/>
          <w:vertAlign w:val="subscript"/>
        </w:rPr>
        <w:t>Channel</w:t>
      </w:r>
      <w:r w:rsidR="0049374F" w:rsidRPr="0049374F">
        <w:rPr>
          <w:rFonts w:cs="v4.2.0"/>
          <w:sz w:val="22"/>
          <w:szCs w:val="22"/>
          <w:lang w:eastAsia="en-GB"/>
        </w:rPr>
        <w:t xml:space="preserve"> is the channel bandwidth</w:t>
      </w:r>
      <w:r w:rsidR="0049374F">
        <w:rPr>
          <w:rFonts w:cs="v4.2.0"/>
          <w:sz w:val="22"/>
          <w:szCs w:val="22"/>
          <w:lang w:eastAsia="en-GB"/>
        </w:rPr>
        <w:t>.</w:t>
      </w:r>
      <w:r>
        <w:rPr>
          <w:color w:val="000000" w:themeColor="text1"/>
          <w:sz w:val="22"/>
        </w:rPr>
        <w:br/>
      </w:r>
      <w:r>
        <w:rPr>
          <w:color w:val="000000" w:themeColor="text1"/>
          <w:sz w:val="22"/>
        </w:rPr>
        <w:br/>
      </w:r>
      <w:r w:rsidR="00EC3EF1">
        <w:rPr>
          <w:b/>
          <w:i/>
          <w:color w:val="000000" w:themeColor="text1"/>
          <w:sz w:val="22"/>
        </w:rPr>
        <w:t xml:space="preserve">Proposal 4: According to proposal 1 above, the combined limit applies only where both individual requirements apply. </w:t>
      </w:r>
    </w:p>
    <w:p w14:paraId="22405EB2" w14:textId="77777777" w:rsidR="00A85BF6" w:rsidRPr="00A85BF6" w:rsidRDefault="00A85BF6" w:rsidP="00A85BF6">
      <w:pPr>
        <w:pStyle w:val="ListParagraph"/>
        <w:numPr>
          <w:ilvl w:val="0"/>
          <w:numId w:val="30"/>
        </w:numPr>
        <w:ind w:firstLineChars="0"/>
        <w:rPr>
          <w:b/>
          <w:i/>
          <w:color w:val="000000" w:themeColor="text1"/>
          <w:sz w:val="22"/>
        </w:rPr>
      </w:pPr>
      <w:r>
        <w:rPr>
          <w:color w:val="000000" w:themeColor="text1"/>
          <w:sz w:val="22"/>
        </w:rPr>
        <w:t>Regarding Observation 5, the transmitter exclusion bands are relevant for emissions whereas there are receiver exclusion bands applicable for RI. Proposal to resolve any un-clarities below:</w:t>
      </w:r>
      <w:r>
        <w:rPr>
          <w:color w:val="000000" w:themeColor="text1"/>
          <w:sz w:val="22"/>
        </w:rPr>
        <w:br/>
      </w:r>
      <w:r>
        <w:rPr>
          <w:color w:val="000000" w:themeColor="text1"/>
          <w:sz w:val="22"/>
        </w:rPr>
        <w:br/>
      </w:r>
      <w:r>
        <w:rPr>
          <w:b/>
          <w:i/>
          <w:color w:val="000000" w:themeColor="text1"/>
          <w:sz w:val="22"/>
        </w:rPr>
        <w:t xml:space="preserve">Proposal 5: Make sure it is clear in the combined test methodology that transmitter exclusion bands are relevant for the emission requirements, and the receiver exclusion bands are applied for the radiated immunity tests. </w:t>
      </w:r>
    </w:p>
    <w:p w14:paraId="1CC89D55" w14:textId="77777777" w:rsidR="00DD64EE" w:rsidRDefault="00546A0A" w:rsidP="00D73E7B">
      <w:pPr>
        <w:pStyle w:val="ListParagraph"/>
        <w:numPr>
          <w:ilvl w:val="0"/>
          <w:numId w:val="30"/>
        </w:numPr>
        <w:ind w:firstLineChars="0"/>
        <w:rPr>
          <w:color w:val="000000" w:themeColor="text1"/>
          <w:sz w:val="22"/>
        </w:rPr>
      </w:pPr>
      <w:r w:rsidRPr="00EC3EF1">
        <w:rPr>
          <w:color w:val="000000" w:themeColor="text1"/>
          <w:sz w:val="22"/>
        </w:rPr>
        <w:t xml:space="preserve">Regarding lack of TX exclusion bands in case of MSR EMC specification, it is found that </w:t>
      </w:r>
      <w:r w:rsidR="00132DAC" w:rsidRPr="00EC3EF1">
        <w:rPr>
          <w:color w:val="000000" w:themeColor="text1"/>
          <w:sz w:val="22"/>
        </w:rPr>
        <w:t xml:space="preserve">it says in the MSR EMC specification that </w:t>
      </w:r>
      <w:r w:rsidRPr="00EC3EF1">
        <w:rPr>
          <w:color w:val="000000" w:themeColor="text1"/>
          <w:sz w:val="22"/>
        </w:rPr>
        <w:t xml:space="preserve">for RI there shall be no TX exclusion bands, which is in accordance with SR </w:t>
      </w:r>
      <w:r w:rsidR="00132DAC" w:rsidRPr="00EC3EF1">
        <w:rPr>
          <w:color w:val="000000" w:themeColor="text1"/>
          <w:sz w:val="22"/>
        </w:rPr>
        <w:t xml:space="preserve">EMC </w:t>
      </w:r>
      <w:r w:rsidRPr="00EC3EF1">
        <w:rPr>
          <w:color w:val="000000" w:themeColor="text1"/>
          <w:sz w:val="22"/>
        </w:rPr>
        <w:t>specifications.</w:t>
      </w:r>
      <w:r w:rsidR="00132DAC" w:rsidRPr="00EC3EF1">
        <w:rPr>
          <w:color w:val="000000" w:themeColor="text1"/>
          <w:sz w:val="22"/>
        </w:rPr>
        <w:t xml:space="preserve"> The EMC specifications for SR and MSR have, however, been written differently. </w:t>
      </w:r>
      <w:r w:rsidRPr="00EC3EF1">
        <w:rPr>
          <w:color w:val="000000" w:themeColor="text1"/>
          <w:sz w:val="22"/>
        </w:rPr>
        <w:t>There are receiver exclusion bands specified for radiated immunity</w:t>
      </w:r>
      <w:r w:rsidR="00132DAC" w:rsidRPr="00EC3EF1">
        <w:rPr>
          <w:color w:val="000000" w:themeColor="text1"/>
          <w:sz w:val="22"/>
        </w:rPr>
        <w:t xml:space="preserve"> in the MSR EMC specification</w:t>
      </w:r>
      <w:r w:rsidRPr="00EC3EF1">
        <w:rPr>
          <w:color w:val="000000" w:themeColor="text1"/>
          <w:sz w:val="22"/>
        </w:rPr>
        <w:t xml:space="preserve">. </w:t>
      </w:r>
    </w:p>
    <w:p w14:paraId="5FD17F3E" w14:textId="31441AE5" w:rsidR="0049275A" w:rsidRPr="00EC3EF1" w:rsidRDefault="00132DAC" w:rsidP="00DD64EE">
      <w:pPr>
        <w:pStyle w:val="ListParagraph"/>
        <w:ind w:left="720" w:firstLineChars="0" w:firstLine="0"/>
        <w:rPr>
          <w:color w:val="000000" w:themeColor="text1"/>
          <w:sz w:val="22"/>
        </w:rPr>
      </w:pPr>
      <w:r w:rsidRPr="00EC3EF1">
        <w:rPr>
          <w:color w:val="000000" w:themeColor="text1"/>
          <w:sz w:val="22"/>
        </w:rPr>
        <w:lastRenderedPageBreak/>
        <w:t>I</w:t>
      </w:r>
      <w:r w:rsidR="00546A0A" w:rsidRPr="00EC3EF1">
        <w:rPr>
          <w:color w:val="000000" w:themeColor="text1"/>
          <w:sz w:val="22"/>
        </w:rPr>
        <w:t xml:space="preserve">n the tables with limits for emissions there are exclusions in the </w:t>
      </w:r>
      <w:r w:rsidR="003B0574" w:rsidRPr="00EC3EF1">
        <w:rPr>
          <w:color w:val="000000" w:themeColor="text1"/>
          <w:sz w:val="22"/>
        </w:rPr>
        <w:t>requirement</w:t>
      </w:r>
      <w:r w:rsidR="00546A0A" w:rsidRPr="00EC3EF1">
        <w:rPr>
          <w:color w:val="000000" w:themeColor="text1"/>
          <w:sz w:val="22"/>
        </w:rPr>
        <w:t xml:space="preserve"> tables (F</w:t>
      </w:r>
      <w:r w:rsidR="00546A0A" w:rsidRPr="00EC3EF1">
        <w:rPr>
          <w:color w:val="000000" w:themeColor="text1"/>
          <w:sz w:val="22"/>
          <w:vertAlign w:val="subscript"/>
        </w:rPr>
        <w:t xml:space="preserve">BW RF,low </w:t>
      </w:r>
      <w:r w:rsidR="00546A0A" w:rsidRPr="00EC3EF1">
        <w:rPr>
          <w:color w:val="000000" w:themeColor="text1"/>
          <w:sz w:val="22"/>
        </w:rPr>
        <w:t xml:space="preserve">- 10 MHz &lt; f &lt; </w:t>
      </w:r>
      <w:r w:rsidR="00546A0A" w:rsidRPr="00EC3EF1">
        <w:rPr>
          <w:color w:val="000000" w:themeColor="text1"/>
          <w:sz w:val="22"/>
          <w:vertAlign w:val="subscript"/>
        </w:rPr>
        <w:t>FBW RF,high</w:t>
      </w:r>
      <w:r w:rsidR="00546A0A" w:rsidRPr="00EC3EF1">
        <w:rPr>
          <w:color w:val="000000" w:themeColor="text1"/>
          <w:sz w:val="22"/>
        </w:rPr>
        <w:t xml:space="preserve">  + 10 MHz), i.e. aligned with MSR RF RSE requirements. </w:t>
      </w:r>
      <w:r w:rsidRPr="00EC3EF1">
        <w:rPr>
          <w:color w:val="000000" w:themeColor="text1"/>
          <w:sz w:val="22"/>
        </w:rPr>
        <w:t xml:space="preserve">Proposal for clarity in OTA AAS BS specification is found below: </w:t>
      </w:r>
      <w:r w:rsidRPr="00EC3EF1">
        <w:rPr>
          <w:color w:val="000000" w:themeColor="text1"/>
          <w:sz w:val="22"/>
        </w:rPr>
        <w:br/>
      </w:r>
      <w:r w:rsidRPr="00EC3EF1">
        <w:rPr>
          <w:color w:val="000000" w:themeColor="text1"/>
          <w:sz w:val="22"/>
        </w:rPr>
        <w:br/>
      </w:r>
      <w:r w:rsidRPr="00EC3EF1">
        <w:rPr>
          <w:b/>
          <w:i/>
          <w:color w:val="000000" w:themeColor="text1"/>
          <w:sz w:val="22"/>
        </w:rPr>
        <w:t>Proposal 6: Make sure to specify TX and RX exclusion bands for the combined emissions measurement and</w:t>
      </w:r>
      <w:r w:rsidR="003B0574" w:rsidRPr="00EC3EF1">
        <w:rPr>
          <w:b/>
          <w:i/>
          <w:color w:val="000000" w:themeColor="text1"/>
          <w:sz w:val="22"/>
        </w:rPr>
        <w:t xml:space="preserve"> the</w:t>
      </w:r>
      <w:r w:rsidRPr="00EC3EF1">
        <w:rPr>
          <w:b/>
          <w:i/>
          <w:color w:val="000000" w:themeColor="text1"/>
          <w:sz w:val="22"/>
        </w:rPr>
        <w:t xml:space="preserve"> radiated immunity</w:t>
      </w:r>
      <w:r w:rsidR="003B0574" w:rsidRPr="00EC3EF1">
        <w:rPr>
          <w:b/>
          <w:i/>
          <w:color w:val="000000" w:themeColor="text1"/>
          <w:sz w:val="22"/>
        </w:rPr>
        <w:t xml:space="preserve"> requirement</w:t>
      </w:r>
      <w:r w:rsidRPr="00EC3EF1">
        <w:rPr>
          <w:b/>
          <w:i/>
          <w:color w:val="000000" w:themeColor="text1"/>
          <w:sz w:val="22"/>
        </w:rPr>
        <w:t xml:space="preserve"> in a clear way in the specification text for OTA AAS BS. </w:t>
      </w:r>
      <w:r w:rsidR="00EC3EF1" w:rsidRPr="00EC3EF1">
        <w:rPr>
          <w:b/>
          <w:i/>
          <w:color w:val="000000" w:themeColor="text1"/>
          <w:sz w:val="22"/>
        </w:rPr>
        <w:t>This can be achieved by avoiding referencing legacy requirements.</w:t>
      </w:r>
    </w:p>
    <w:p w14:paraId="030B6770" w14:textId="77777777" w:rsidR="00C03D8E" w:rsidRPr="002E57B8" w:rsidRDefault="00512090" w:rsidP="00C03D8E">
      <w:pPr>
        <w:pStyle w:val="Heading1"/>
      </w:pPr>
      <w:r>
        <w:t>Conclusion</w:t>
      </w:r>
    </w:p>
    <w:p w14:paraId="678BD51A" w14:textId="53FD5451" w:rsidR="00512090" w:rsidRDefault="00EC3EF1" w:rsidP="002A1AB4">
      <w:pPr>
        <w:rPr>
          <w:color w:val="000000" w:themeColor="text1"/>
          <w:sz w:val="22"/>
          <w:lang w:val="en-US"/>
        </w:rPr>
      </w:pPr>
      <w:r>
        <w:rPr>
          <w:color w:val="000000" w:themeColor="text1"/>
          <w:sz w:val="22"/>
        </w:rPr>
        <w:t xml:space="preserve">6 proposals are presented below with the aim to resolve the misalignments between the </w:t>
      </w:r>
      <w:r w:rsidRPr="00AE4634">
        <w:rPr>
          <w:rFonts w:hint="eastAsia"/>
          <w:color w:val="000000" w:themeColor="text1"/>
          <w:sz w:val="22"/>
          <w:lang w:val="en-US"/>
        </w:rPr>
        <w:t>EMC emission and RF RSE requirements</w:t>
      </w:r>
      <w:r>
        <w:rPr>
          <w:color w:val="000000" w:themeColor="text1"/>
          <w:sz w:val="22"/>
          <w:lang w:val="en-US"/>
        </w:rPr>
        <w:t xml:space="preserve">. </w:t>
      </w:r>
    </w:p>
    <w:p w14:paraId="7A114FE3" w14:textId="77777777" w:rsidR="00EC3EF1" w:rsidRPr="00EC3EF1" w:rsidRDefault="00EC3EF1" w:rsidP="00EC3EF1">
      <w:pPr>
        <w:rPr>
          <w:color w:val="000000" w:themeColor="text1"/>
          <w:sz w:val="22"/>
        </w:rPr>
      </w:pPr>
      <w:r w:rsidRPr="00EC3EF1">
        <w:rPr>
          <w:b/>
          <w:i/>
          <w:color w:val="000000" w:themeColor="text1"/>
          <w:sz w:val="22"/>
        </w:rPr>
        <w:t>Proposal 1: The combined EMC RE and RF RSE test methodology should be defined for the frequency range according to what is specified for the legacy RF RSE requirement (i.e. upper frequency limit reaching beyond 12.75 GHz and up to 5</w:t>
      </w:r>
      <w:r w:rsidRPr="00EC3EF1">
        <w:rPr>
          <w:b/>
          <w:i/>
          <w:color w:val="000000" w:themeColor="text1"/>
          <w:sz w:val="22"/>
          <w:vertAlign w:val="superscript"/>
        </w:rPr>
        <w:t>th</w:t>
      </w:r>
      <w:r w:rsidRPr="00EC3EF1">
        <w:rPr>
          <w:b/>
          <w:i/>
          <w:color w:val="000000" w:themeColor="text1"/>
          <w:sz w:val="22"/>
        </w:rPr>
        <w:t xml:space="preserve"> harmonics for certain frequency bands) and the combined limit should be defined as a linear sum of the RF RSE limit and the EMC RE limit for frequency ranges where both requirements apply. In the frequency range where only the RF RSE applies, only the RF RSE limit shall be applied. </w:t>
      </w:r>
    </w:p>
    <w:p w14:paraId="0299299F" w14:textId="67A0B00E" w:rsidR="00EC3EF1" w:rsidRPr="00EC3EF1" w:rsidRDefault="00EC3EF1" w:rsidP="00EC3EF1">
      <w:pPr>
        <w:rPr>
          <w:b/>
          <w:i/>
          <w:color w:val="000000" w:themeColor="text1"/>
          <w:sz w:val="22"/>
        </w:rPr>
      </w:pPr>
      <w:r w:rsidRPr="00EC3EF1">
        <w:rPr>
          <w:b/>
          <w:i/>
          <w:color w:val="000000" w:themeColor="text1"/>
          <w:sz w:val="22"/>
        </w:rPr>
        <w:t xml:space="preserve">Proposal 2: By avoiding referencing the conducted requirements </w:t>
      </w:r>
      <w:r>
        <w:rPr>
          <w:b/>
          <w:i/>
          <w:color w:val="000000" w:themeColor="text1"/>
          <w:sz w:val="22"/>
        </w:rPr>
        <w:t>terminology</w:t>
      </w:r>
      <w:r w:rsidRPr="00EC3EF1">
        <w:rPr>
          <w:b/>
          <w:i/>
          <w:color w:val="000000" w:themeColor="text1"/>
          <w:sz w:val="22"/>
        </w:rPr>
        <w:t xml:space="preserve"> misalignment</w:t>
      </w:r>
      <w:r>
        <w:rPr>
          <w:b/>
          <w:i/>
          <w:color w:val="000000" w:themeColor="text1"/>
          <w:sz w:val="22"/>
        </w:rPr>
        <w:t>s</w:t>
      </w:r>
      <w:r w:rsidRPr="00EC3EF1">
        <w:rPr>
          <w:b/>
          <w:i/>
          <w:color w:val="000000" w:themeColor="text1"/>
          <w:sz w:val="22"/>
        </w:rPr>
        <w:t xml:space="preserve"> can be resolved. </w:t>
      </w:r>
    </w:p>
    <w:p w14:paraId="227A6ED7" w14:textId="77777777" w:rsidR="004C6B21" w:rsidRPr="004C6B21" w:rsidRDefault="004C6B21" w:rsidP="004C6B21">
      <w:pPr>
        <w:rPr>
          <w:b/>
          <w:i/>
          <w:color w:val="000000" w:themeColor="text1"/>
          <w:sz w:val="22"/>
        </w:rPr>
      </w:pPr>
      <w:r w:rsidRPr="004C6B21">
        <w:rPr>
          <w:b/>
          <w:i/>
          <w:color w:val="000000" w:themeColor="text1"/>
          <w:sz w:val="22"/>
        </w:rPr>
        <w:t xml:space="preserve">Proposal 3: Assume the same EMC RE limit for UTRA TDD BS 7.68 Mcps option as for the other UTRA TDD options when specifying the total limit for the combined measurement. </w:t>
      </w:r>
    </w:p>
    <w:p w14:paraId="6F231B31" w14:textId="77777777" w:rsidR="004C6B21" w:rsidRPr="004C6B21" w:rsidRDefault="004C6B21" w:rsidP="004C6B21">
      <w:pPr>
        <w:rPr>
          <w:b/>
          <w:i/>
          <w:color w:val="000000" w:themeColor="text1"/>
          <w:sz w:val="22"/>
        </w:rPr>
      </w:pPr>
      <w:r w:rsidRPr="004C6B21">
        <w:rPr>
          <w:b/>
          <w:i/>
          <w:color w:val="000000" w:themeColor="text1"/>
          <w:sz w:val="22"/>
        </w:rPr>
        <w:t xml:space="preserve">Proposal 4: According to proposal 1 above, the combined limit applies only where both individual requirements apply. </w:t>
      </w:r>
    </w:p>
    <w:p w14:paraId="41F66D27" w14:textId="77777777" w:rsidR="004C6B21" w:rsidRPr="004C6B21" w:rsidRDefault="004C6B21" w:rsidP="004C6B21">
      <w:pPr>
        <w:rPr>
          <w:b/>
          <w:i/>
          <w:color w:val="000000" w:themeColor="text1"/>
          <w:sz w:val="22"/>
        </w:rPr>
      </w:pPr>
      <w:r w:rsidRPr="004C6B21">
        <w:rPr>
          <w:b/>
          <w:i/>
          <w:color w:val="000000" w:themeColor="text1"/>
          <w:sz w:val="22"/>
        </w:rPr>
        <w:t xml:space="preserve">Proposal 5: Make sure it is clear in the combined test methodology that transmitter exclusion bands are relevant for the emission requirements, and the receiver exclusion bands are applied for the radiated immunity tests. </w:t>
      </w:r>
    </w:p>
    <w:p w14:paraId="66637634" w14:textId="022368EE" w:rsidR="002C7DAA" w:rsidRDefault="004C6B21" w:rsidP="002A1AB4">
      <w:pPr>
        <w:rPr>
          <w:color w:val="000000" w:themeColor="text1"/>
          <w:sz w:val="22"/>
        </w:rPr>
      </w:pPr>
      <w:r w:rsidRPr="00EC3EF1">
        <w:rPr>
          <w:b/>
          <w:i/>
          <w:color w:val="000000" w:themeColor="text1"/>
          <w:sz w:val="22"/>
        </w:rPr>
        <w:t>Proposal 6: Make sure to specify TX and RX exclusion bands for the combined emissions measurement and the radiated immunity requirement in a clear way in the specification text for OTA AAS BS. This can be achieved by avoiding referencing legacy requirements.</w:t>
      </w:r>
    </w:p>
    <w:p w14:paraId="10BA86EE" w14:textId="77777777" w:rsidR="00CD43A3" w:rsidRPr="008F3124" w:rsidRDefault="00CD43A3" w:rsidP="00CD43A3">
      <w:pPr>
        <w:pStyle w:val="Heading1"/>
      </w:pPr>
      <w:r w:rsidRPr="008F3124">
        <w:t>References</w:t>
      </w:r>
    </w:p>
    <w:p w14:paraId="5ED70A5D" w14:textId="77777777" w:rsidR="006D0A01" w:rsidRDefault="00AE4634" w:rsidP="00AE4634">
      <w:pPr>
        <w:pStyle w:val="a"/>
        <w:rPr>
          <w:color w:val="000000" w:themeColor="text1"/>
          <w:lang w:eastAsia="zh-CN"/>
        </w:rPr>
      </w:pPr>
      <w:r w:rsidRPr="00AE4634">
        <w:rPr>
          <w:rFonts w:hint="eastAsia"/>
          <w:color w:val="000000" w:themeColor="text1"/>
          <w:lang w:val="en-US" w:eastAsia="zh-CN"/>
        </w:rPr>
        <w:t>WF on alignment of EMC emission and RF RSE requirements</w:t>
      </w:r>
      <w:r>
        <w:rPr>
          <w:color w:val="000000" w:themeColor="text1"/>
          <w:lang w:val="en-US" w:eastAsia="zh-CN"/>
        </w:rPr>
        <w:t>, Huawei, RAN4-#83</w:t>
      </w:r>
    </w:p>
    <w:sectPr w:rsidR="006D0A01"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9FD1A" w14:textId="77777777" w:rsidR="00EC1DA6" w:rsidRDefault="00EC1DA6">
      <w:r>
        <w:separator/>
      </w:r>
    </w:p>
  </w:endnote>
  <w:endnote w:type="continuationSeparator" w:id="0">
    <w:p w14:paraId="60D16476" w14:textId="77777777" w:rsidR="00EC1DA6" w:rsidRDefault="00EC1DA6">
      <w:r>
        <w:continuationSeparator/>
      </w:r>
    </w:p>
  </w:endnote>
  <w:endnote w:type="continuationNotice" w:id="1">
    <w:p w14:paraId="347CDF7F" w14:textId="77777777" w:rsidR="00EC1DA6" w:rsidRDefault="00EC1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E561E" w14:textId="77777777" w:rsidR="00EC1DA6" w:rsidRDefault="00EC1DA6">
      <w:r>
        <w:separator/>
      </w:r>
    </w:p>
  </w:footnote>
  <w:footnote w:type="continuationSeparator" w:id="0">
    <w:p w14:paraId="2F5F0AF1" w14:textId="77777777" w:rsidR="00EC1DA6" w:rsidRDefault="00EC1DA6">
      <w:r>
        <w:continuationSeparator/>
      </w:r>
    </w:p>
  </w:footnote>
  <w:footnote w:type="continuationNotice" w:id="1">
    <w:p w14:paraId="10F275A0" w14:textId="77777777" w:rsidR="00EC1DA6" w:rsidRDefault="00EC1D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C54182"/>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D6481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FA3204"/>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293619B"/>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46E6C68"/>
    <w:multiLevelType w:val="hybridMultilevel"/>
    <w:tmpl w:val="65A87D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25"/>
  </w:num>
  <w:num w:numId="4">
    <w:abstractNumId w:val="12"/>
  </w:num>
  <w:num w:numId="5">
    <w:abstractNumId w:val="10"/>
  </w:num>
  <w:num w:numId="6">
    <w:abstractNumId w:val="19"/>
  </w:num>
  <w:num w:numId="7">
    <w:abstractNumId w:val="14"/>
  </w:num>
  <w:num w:numId="8">
    <w:abstractNumId w:val="7"/>
  </w:num>
  <w:num w:numId="9">
    <w:abstractNumId w:val="1"/>
  </w:num>
  <w:num w:numId="10">
    <w:abstractNumId w:val="20"/>
  </w:num>
  <w:num w:numId="11">
    <w:abstractNumId w:val="4"/>
  </w:num>
  <w:num w:numId="12">
    <w:abstractNumId w:val="17"/>
  </w:num>
  <w:num w:numId="13">
    <w:abstractNumId w:val="21"/>
  </w:num>
  <w:num w:numId="14">
    <w:abstractNumId w:val="11"/>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5"/>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7"/>
  </w:num>
  <w:num w:numId="27">
    <w:abstractNumId w:val="18"/>
  </w:num>
  <w:num w:numId="28">
    <w:abstractNumId w:val="13"/>
  </w:num>
  <w:num w:numId="29">
    <w:abstractNumId w:val="6"/>
  </w:num>
  <w:num w:numId="30">
    <w:abstractNumId w:val="3"/>
  </w:num>
  <w:num w:numId="31">
    <w:abstractNumId w:val="24"/>
  </w:num>
  <w:num w:numId="32">
    <w:abstractNumId w:val="26"/>
  </w:num>
  <w:num w:numId="33">
    <w:abstractNumId w:val="23"/>
  </w:num>
  <w:num w:numId="34">
    <w:abstractNumId w:val="16"/>
  </w:num>
  <w:num w:numId="35">
    <w:abstractNumId w:val="8"/>
  </w:num>
  <w:num w:numId="3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2A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C17"/>
    <w:rsid w:val="00243F53"/>
    <w:rsid w:val="002441ED"/>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053"/>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D0B"/>
    <w:rsid w:val="00497DFA"/>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B21"/>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3E1B"/>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84"/>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46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87993"/>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4CB"/>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7B0"/>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64EE"/>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1DA6"/>
    <w:rsid w:val="00EC2664"/>
    <w:rsid w:val="00EC26A0"/>
    <w:rsid w:val="00EC2FE0"/>
    <w:rsid w:val="00EC3242"/>
    <w:rsid w:val="00EC333A"/>
    <w:rsid w:val="00EC3CA6"/>
    <w:rsid w:val="00EC3EF1"/>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C7BA2-EB70-4F10-904E-3DDCDBB28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1508</TotalTime>
  <Pages>3</Pages>
  <Words>1418</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Björn Flach</cp:lastModifiedBy>
  <cp:revision>33</cp:revision>
  <cp:lastPrinted>2015-01-14T11:53:00Z</cp:lastPrinted>
  <dcterms:created xsi:type="dcterms:W3CDTF">2017-04-06T00:27:00Z</dcterms:created>
  <dcterms:modified xsi:type="dcterms:W3CDTF">2017-08-11T08:04:00Z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